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A8" w:rsidRPr="00D82478" w:rsidRDefault="00FD5CA8" w:rsidP="00D82478">
      <w:pPr>
        <w:spacing w:before="100" w:beforeAutospacing="1" w:after="100" w:afterAutospacing="1" w:line="240" w:lineRule="auto"/>
        <w:jc w:val="center"/>
        <w:rPr>
          <w:rFonts w:ascii="Times New Roman" w:hAnsi="Times New Roman" w:cs="Times New Roman"/>
          <w:b/>
          <w:bCs/>
          <w:sz w:val="30"/>
          <w:szCs w:val="30"/>
          <w:lang w:eastAsia="ru-RU"/>
        </w:rPr>
      </w:pPr>
      <w:r w:rsidRPr="00D82478">
        <w:rPr>
          <w:rFonts w:ascii="Times New Roman" w:hAnsi="Times New Roman" w:cs="Times New Roman"/>
          <w:b/>
          <w:bCs/>
          <w:sz w:val="30"/>
          <w:szCs w:val="30"/>
          <w:lang w:eastAsia="ru-RU"/>
        </w:rPr>
        <w:t xml:space="preserve">Извещение о проведении электронного аукциона </w:t>
      </w:r>
    </w:p>
    <w:p w:rsidR="00FD5CA8" w:rsidRPr="00D82478" w:rsidRDefault="00FD5CA8" w:rsidP="00D82478">
      <w:pPr>
        <w:spacing w:before="100" w:beforeAutospacing="1" w:after="100" w:afterAutospacing="1" w:line="240" w:lineRule="auto"/>
        <w:jc w:val="center"/>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для закупки №0107300005919000030</w:t>
      </w:r>
    </w:p>
    <w:tbl>
      <w:tblPr>
        <w:tblW w:w="0" w:type="auto"/>
        <w:tblCellSpacing w:w="15" w:type="dxa"/>
        <w:tblInd w:w="-13" w:type="dxa"/>
        <w:tblCellMar>
          <w:top w:w="15" w:type="dxa"/>
          <w:left w:w="15" w:type="dxa"/>
          <w:bottom w:w="15" w:type="dxa"/>
          <w:right w:w="15" w:type="dxa"/>
        </w:tblCellMar>
        <w:tblLook w:val="00A0"/>
      </w:tblPr>
      <w:tblGrid>
        <w:gridCol w:w="5544"/>
        <w:gridCol w:w="5136"/>
      </w:tblGrid>
      <w:tr w:rsidR="00FD5CA8" w:rsidRPr="00B327DE">
        <w:trPr>
          <w:tblCellSpacing w:w="15" w:type="dxa"/>
        </w:trPr>
        <w:tc>
          <w:tcPr>
            <w:tcW w:w="2000" w:type="pct"/>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p>
        </w:tc>
        <w:tc>
          <w:tcPr>
            <w:tcW w:w="3000" w:type="pct"/>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Общая информация</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0107300005919000030</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Выполнение работ по ремонту придомовой территории проезжей части (асфальтирование) возле многоквартирного дома № 10 по ул. Интернациональная п. Междуреченск Удорского района Республики Коми </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Электронный аукцион</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ЗАО «Сбербанк-АСТ»</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http://www.sberbank-ast.ru</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Уполномоченный орган</w:t>
            </w:r>
            <w:r w:rsidRPr="00D82478">
              <w:rPr>
                <w:rFonts w:ascii="Times New Roman" w:hAnsi="Times New Roman" w:cs="Times New Roman"/>
                <w:sz w:val="24"/>
                <w:szCs w:val="24"/>
                <w:lang w:eastAsia="ru-RU"/>
              </w:rPr>
              <w:br/>
              <w:t>ФИНАНСОВОЕ УПРАВЛЕНИЕ АДМИНИСТРАЦИИ МУНИЦИПАЛЬНОГО РАЙОНА "УДОРСКИЙ"</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Контактная информация</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ФИНАНСОВОЕ УПРАВЛЕНИЕ АДМИНИСТРАЦИИ МУНИЦИПАЛЬНОГО РАЙОНА "УДОРСКИЙ"</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Российская Федерация, 169240, Коми Респ, Удорский р-н, Кослан с, УЛ ЦЕНТРАЛЬНАЯ, 144</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Российская Федерация, 169240, Коми Респ, Удорский р-н, Кослан с, УЛ ЦЕНТРАЛЬНАЯ, 144</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Шумилкина Евгения Юрьевна</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udora_econom@mail.ru</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8-82135-33062</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Факс</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8-82135-33013</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Заказчик: Администрация муниципального образования городского поселения «Междуреченск». Место нахождения, почтовый адрес, адрес электронной почты, номер контактного телефона заказчика, ответственное должностное лицо заказчика: 169260, Республика Коми, Удорский район, п. Междуреченск, ул. Интернациональная, д.5, тел. +7 (82135) 23201, факс +7 (82135) 23414, адрес электронной почты: admmegd@rambler.ru. Ответственное должностное лицо заказчика – и.о. руководителя администрации городского поселения «Междуреченск» Сухарева Елена Павловна</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Информация о процедуре закупки</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26.04.2019 09:00</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ЗАО "Сбербанк-АСТ"</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в соответствии с документацией об электронном аукционе</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29.04.2019</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06.05.2019</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Описание объекта закупки: установлено в документации об электронном аукционе. Объем выполняемых работ: 1 усл.ед. Объемы выполняемых работ установлены в разделе III. Техническое задание документации об электронном аукционе и проекте контракта.</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 xml:space="preserve">Условия контрактов </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921215.00 Российский рубль</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 Средства бюджета муниципального образования городского поселения «Междуреченск» </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193111600710211180100100070074211244</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Требования заказчиков</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1 АДМИНИСТРАЦИЯ МУНИЦИПАЛЬНОГО ОБРАЗОВАНИЯ ГОРОДСКОГО ПОСЕЛЕНИЯ "МЕЖДУРЕЧЕНСК"</w:t>
            </w:r>
          </w:p>
        </w:tc>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921215.00 Российский рубль</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Российская Федерация, Коми Респ, Удорский р-н, Междуреченск пгт, придомовая территория проезжей части возле многоквартирного дома №10 по ул. Интернациональная</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с даты заключения контракта по 31.08.2019 года </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Обеспечение заявок</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Обеспечение заявок не требуется</w:t>
            </w:r>
          </w:p>
        </w:tc>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Обеспечение исполнения контракта</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46060.75 Российский рубль</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В соответствии с требованиями документации об электронном аукционе. Установлено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Положения Федерального закона от 05.04.2013 г. № 44-ФЗ об обеспечении исполнения контракта не применяются в случае заключения контракта с участником закупки, который является казенным учреждением. </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Платежные реквизиты для обеспечения исполнения контракта</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"Номер расчётного счёта" 40302810940303087211</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"Номер лицевого счёта" 05073003061</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"БИК" 048702001</w:t>
            </w: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Информация о банковском и (или) казначейском сопровождении контракта</w:t>
            </w: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Банковское или казначейское сопровождение контракта не требуется</w:t>
            </w: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Объект закупки</w:t>
            </w: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jc w:val="right"/>
              <w:rPr>
                <w:rFonts w:ascii="Times New Roman" w:hAnsi="Times New Roman" w:cs="Times New Roman"/>
                <w:sz w:val="24"/>
                <w:szCs w:val="24"/>
                <w:lang w:eastAsia="ru-RU"/>
              </w:rPr>
            </w:pPr>
            <w:r w:rsidRPr="00D82478">
              <w:rPr>
                <w:rFonts w:ascii="Times New Roman" w:hAnsi="Times New Roman" w:cs="Times New Roman"/>
                <w:sz w:val="24"/>
                <w:szCs w:val="24"/>
                <w:lang w:eastAsia="ru-RU"/>
              </w:rPr>
              <w:t>Российский рубль</w:t>
            </w:r>
          </w:p>
        </w:tc>
      </w:tr>
      <w:tr w:rsidR="00FD5CA8" w:rsidRPr="00B327DE">
        <w:trPr>
          <w:tblCellSpacing w:w="15" w:type="dxa"/>
        </w:trPr>
        <w:tc>
          <w:tcPr>
            <w:tcW w:w="0" w:type="auto"/>
            <w:gridSpan w:val="2"/>
            <w:tcMar>
              <w:top w:w="0" w:type="dxa"/>
              <w:left w:w="225" w:type="dxa"/>
              <w:bottom w:w="0" w:type="dxa"/>
              <w:right w:w="150"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399"/>
              <w:gridCol w:w="1004"/>
              <w:gridCol w:w="1004"/>
              <w:gridCol w:w="534"/>
              <w:gridCol w:w="605"/>
              <w:gridCol w:w="1999"/>
              <w:gridCol w:w="861"/>
              <w:gridCol w:w="1061"/>
              <w:gridCol w:w="884"/>
              <w:gridCol w:w="884"/>
            </w:tblGrid>
            <w:tr w:rsidR="00FD5CA8" w:rsidRPr="00B327DE">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Наименование товара, работы, услуги по КТРУ</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Код позиции</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Характеристики товара, работы, услуги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Заказчик</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Цена за ед.изм.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Стоимость</w:t>
                  </w:r>
                </w:p>
              </w:tc>
            </w:tr>
            <w:tr w:rsidR="00FD5CA8" w:rsidRPr="00B327DE">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Наименование</w:t>
                  </w:r>
                </w:p>
              </w:tc>
              <w:tc>
                <w:tcPr>
                  <w:tcW w:w="1650" w:type="pc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Значение</w:t>
                  </w:r>
                </w:p>
              </w:tc>
              <w:tc>
                <w:tcPr>
                  <w:tcW w:w="1650" w:type="pct"/>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jc w:val="center"/>
                    <w:rPr>
                      <w:rFonts w:ascii="Times New Roman" w:hAnsi="Times New Roman" w:cs="Times New Roman"/>
                      <w:b/>
                      <w:bCs/>
                      <w:sz w:val="24"/>
                      <w:szCs w:val="24"/>
                      <w:lang w:eastAsia="ru-RU"/>
                    </w:rPr>
                  </w:pPr>
                  <w:r w:rsidRPr="00D82478">
                    <w:rPr>
                      <w:rFonts w:ascii="Times New Roman" w:hAnsi="Times New Roman" w:cs="Times New Roman"/>
                      <w:b/>
                      <w:bCs/>
                      <w:sz w:val="24"/>
                      <w:szCs w:val="24"/>
                      <w:lang w:eastAsia="ru-RU"/>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b/>
                      <w:bCs/>
                      <w:sz w:val="24"/>
                      <w:szCs w:val="24"/>
                      <w:lang w:eastAsia="ru-RU"/>
                    </w:rPr>
                  </w:pPr>
                </w:p>
              </w:tc>
            </w:tr>
            <w:tr w:rsidR="00FD5CA8" w:rsidRPr="00B327DE">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Выполнение работ по ремонту придомовой территории проезжей части (асфальтирование) возле многоквартирного дома № 10 по ул. Интернациональная п. Междуреченск Удорского р-на Республики Коми.</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42.11.10.129</w:t>
                  </w:r>
                </w:p>
              </w:tc>
              <w:tc>
                <w:tcPr>
                  <w:tcW w:w="0" w:type="auto"/>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tbl>
                  <w:tblPr>
                    <w:tblW w:w="0" w:type="auto"/>
                    <w:tblCellSpacing w:w="15" w:type="dxa"/>
                    <w:tblCellMar>
                      <w:top w:w="15" w:type="dxa"/>
                      <w:left w:w="15" w:type="dxa"/>
                      <w:bottom w:w="15" w:type="dxa"/>
                      <w:right w:w="15" w:type="dxa"/>
                    </w:tblCellMar>
                    <w:tblLook w:val="00A0"/>
                  </w:tblPr>
                  <w:tblGrid>
                    <w:gridCol w:w="1624"/>
                  </w:tblGrid>
                  <w:tr w:rsidR="00FD5CA8" w:rsidRPr="00B327DE">
                    <w:trPr>
                      <w:tblCellSpacing w:w="15" w:type="dxa"/>
                    </w:trPr>
                    <w:tc>
                      <w:tcPr>
                        <w:tcW w:w="1650" w:type="pct"/>
                        <w:tcBorders>
                          <w:top w:val="nil"/>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АДМИНИСТРАЦИЯ МУНИЦИПАЛЬНОГО ОБРАЗОВАНИЯ ГОРОДСКОГО ПОСЕЛЕНИЯ "МЕЖДУРЕЧЕНСК"</w:t>
                        </w:r>
                      </w:p>
                    </w:tc>
                  </w:tr>
                </w:tbl>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Условная единица</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tbl>
                  <w:tblPr>
                    <w:tblW w:w="0" w:type="auto"/>
                    <w:tblCellSpacing w:w="15" w:type="dxa"/>
                    <w:tblCellMar>
                      <w:top w:w="15" w:type="dxa"/>
                      <w:left w:w="15" w:type="dxa"/>
                      <w:bottom w:w="15" w:type="dxa"/>
                      <w:right w:w="15" w:type="dxa"/>
                    </w:tblCellMar>
                    <w:tblLook w:val="00A0"/>
                  </w:tblPr>
                  <w:tblGrid>
                    <w:gridCol w:w="686"/>
                  </w:tblGrid>
                  <w:tr w:rsidR="00FD5CA8" w:rsidRPr="00B327DE">
                    <w:trPr>
                      <w:tblCellSpacing w:w="15" w:type="dxa"/>
                    </w:trPr>
                    <w:tc>
                      <w:tcPr>
                        <w:tcW w:w="1650" w:type="pct"/>
                        <w:tcBorders>
                          <w:top w:val="nil"/>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1</w:t>
                        </w:r>
                      </w:p>
                    </w:tc>
                  </w:tr>
                </w:tbl>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921215.00</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921215.00</w:t>
                  </w:r>
                </w:p>
              </w:tc>
            </w:tr>
            <w:tr w:rsidR="00FD5CA8" w:rsidRPr="00B327DE">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gridSpan w:val="3"/>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Объем и виды работ согласно локальному сметному расчету. </w:t>
                  </w: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5CA8" w:rsidRPr="00D82478" w:rsidRDefault="00FD5CA8" w:rsidP="00D82478">
                  <w:pPr>
                    <w:spacing w:after="0" w:line="240" w:lineRule="auto"/>
                    <w:rPr>
                      <w:rFonts w:ascii="Times New Roman" w:hAnsi="Times New Roman" w:cs="Times New Roman"/>
                      <w:sz w:val="24"/>
                      <w:szCs w:val="24"/>
                      <w:lang w:eastAsia="ru-RU"/>
                    </w:rPr>
                  </w:pPr>
                </w:p>
              </w:tc>
            </w:tr>
          </w:tbl>
          <w:p w:rsidR="00FD5CA8" w:rsidRPr="00D82478" w:rsidRDefault="00FD5CA8" w:rsidP="00D82478">
            <w:pPr>
              <w:spacing w:after="0" w:line="240" w:lineRule="auto"/>
              <w:rPr>
                <w:rFonts w:ascii="Times New Roman" w:hAnsi="Times New Roman" w:cs="Times New Roman"/>
                <w:sz w:val="24"/>
                <w:szCs w:val="24"/>
                <w:lang w:eastAsia="ru-RU"/>
              </w:rPr>
            </w:pP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jc w:val="right"/>
              <w:rPr>
                <w:rFonts w:ascii="Times New Roman" w:hAnsi="Times New Roman" w:cs="Times New Roman"/>
                <w:sz w:val="24"/>
                <w:szCs w:val="24"/>
                <w:lang w:eastAsia="ru-RU"/>
              </w:rPr>
            </w:pPr>
            <w:r w:rsidRPr="00D82478">
              <w:rPr>
                <w:rFonts w:ascii="Times New Roman" w:hAnsi="Times New Roman" w:cs="Times New Roman"/>
                <w:sz w:val="24"/>
                <w:szCs w:val="24"/>
                <w:lang w:eastAsia="ru-RU"/>
              </w:rPr>
              <w:t>Итого: 921215.00 Российский рубль</w:t>
            </w:r>
          </w:p>
        </w:tc>
      </w:tr>
      <w:tr w:rsidR="00FD5CA8" w:rsidRPr="00B327DE">
        <w:trPr>
          <w:tblCellSpacing w:w="15" w:type="dxa"/>
        </w:trPr>
        <w:tc>
          <w:tcPr>
            <w:tcW w:w="0" w:type="auto"/>
            <w:tcMar>
              <w:top w:w="0" w:type="dxa"/>
              <w:left w:w="225" w:type="dxa"/>
              <w:bottom w:w="0" w:type="dxa"/>
              <w:right w:w="150" w:type="dxa"/>
            </w:tcMar>
            <w:vAlign w:val="center"/>
          </w:tcPr>
          <w:p w:rsidR="00FD5CA8" w:rsidRDefault="00FD5CA8" w:rsidP="00D82478">
            <w:pPr>
              <w:spacing w:before="100" w:beforeAutospacing="1" w:after="100" w:afterAutospacing="1" w:line="240" w:lineRule="auto"/>
              <w:rPr>
                <w:rFonts w:ascii="Times New Roman" w:hAnsi="Times New Roman" w:cs="Times New Roman"/>
                <w:b/>
                <w:bCs/>
                <w:sz w:val="24"/>
                <w:szCs w:val="24"/>
                <w:lang w:eastAsia="ru-RU"/>
              </w:rPr>
            </w:pP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Преимущества и требования к участникам</w:t>
            </w:r>
          </w:p>
        </w:tc>
        <w:tc>
          <w:tcPr>
            <w:tcW w:w="0" w:type="auto"/>
            <w:vAlign w:val="center"/>
          </w:tcPr>
          <w:p w:rsidR="00FD5CA8" w:rsidRPr="00D82478" w:rsidRDefault="00FD5CA8" w:rsidP="00D82478">
            <w:pPr>
              <w:spacing w:after="0" w:line="240" w:lineRule="auto"/>
              <w:rPr>
                <w:rFonts w:ascii="Times New Roman" w:hAnsi="Times New Roman" w:cs="Times New Roman"/>
                <w:sz w:val="20"/>
                <w:szCs w:val="20"/>
                <w:lang w:eastAsia="ru-RU"/>
              </w:rPr>
            </w:pP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Не установлены</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В соответствии с документацией об электронном аукционе установлены требования о соответствии участников требованиям пунктов 3 – 5, 7, 7.1, 9, 10, 11 части 1 статьи 31 Федерального закона от 05.04.2013 г. № 44-ФЗ.</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Установлено требование об отсутствии в предусмотренном Федеральным законом от 05.04.2013 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Не установлены</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вторая часть заявки должна содержать документы и информацию, предусмотренные частью 12.5 подраздела 12 раздела I документации, в том числе: - декларацию о соответствии требованиям, установленным пунктами 3-5, 7, 7.1, 9 части 1 статьи 31 Федерального закона от 05.04.2013 г. № 44-ФЗ (пунктами 2-5, 5.1, 7 части 2.2 подраздела 2 раздела I документации). Указанная декларация предоставляется с использованием программно-аппаратных средств электронной площадки.</w:t>
            </w:r>
          </w:p>
        </w:tc>
      </w:tr>
      <w:tr w:rsidR="00FD5CA8" w:rsidRPr="00B327DE">
        <w:trPr>
          <w:tblCellSpacing w:w="15" w:type="dxa"/>
        </w:trPr>
        <w:tc>
          <w:tcPr>
            <w:tcW w:w="0" w:type="auto"/>
            <w:gridSpan w:val="2"/>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after="0" w:line="240" w:lineRule="auto"/>
              <w:rPr>
                <w:rFonts w:ascii="Times New Roman" w:hAnsi="Times New Roman" w:cs="Times New Roman"/>
                <w:sz w:val="24"/>
                <w:szCs w:val="24"/>
                <w:lang w:eastAsia="ru-RU"/>
              </w:rPr>
            </w:pPr>
            <w:r w:rsidRPr="00D82478">
              <w:rPr>
                <w:rFonts w:ascii="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1 Документация ЭА-30</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2 Смета дом № 10</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3 ЛРВ (ведомость работ)</w:t>
            </w:r>
          </w:p>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4 Прил._2 к мун.контракту</w:t>
            </w:r>
          </w:p>
        </w:tc>
      </w:tr>
      <w:tr w:rsidR="00FD5CA8" w:rsidRPr="00B327DE">
        <w:trPr>
          <w:tblCellSpacing w:w="15" w:type="dxa"/>
        </w:trPr>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tcPr>
          <w:p w:rsidR="00FD5CA8" w:rsidRPr="00D82478" w:rsidRDefault="00FD5CA8" w:rsidP="00D82478">
            <w:pPr>
              <w:spacing w:before="100" w:beforeAutospacing="1" w:after="100" w:afterAutospacing="1" w:line="240" w:lineRule="auto"/>
              <w:rPr>
                <w:rFonts w:ascii="Times New Roman" w:hAnsi="Times New Roman" w:cs="Times New Roman"/>
                <w:sz w:val="24"/>
                <w:szCs w:val="24"/>
                <w:lang w:eastAsia="ru-RU"/>
              </w:rPr>
            </w:pPr>
            <w:r w:rsidRPr="00D82478">
              <w:rPr>
                <w:rFonts w:ascii="Times New Roman" w:hAnsi="Times New Roman" w:cs="Times New Roman"/>
                <w:sz w:val="24"/>
                <w:szCs w:val="24"/>
                <w:lang w:eastAsia="ru-RU"/>
              </w:rPr>
              <w:t>18.04.2019 15:20</w:t>
            </w:r>
          </w:p>
        </w:tc>
      </w:tr>
    </w:tbl>
    <w:p w:rsidR="00FD5CA8" w:rsidRDefault="00FD5CA8"/>
    <w:sectPr w:rsidR="00FD5CA8" w:rsidSect="0007368F">
      <w:pgSz w:w="11906" w:h="16838"/>
      <w:pgMar w:top="540" w:right="56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478"/>
    <w:rsid w:val="00021118"/>
    <w:rsid w:val="0007368F"/>
    <w:rsid w:val="000E133D"/>
    <w:rsid w:val="00666DF2"/>
    <w:rsid w:val="006E480D"/>
    <w:rsid w:val="00B327DE"/>
    <w:rsid w:val="00B464EA"/>
    <w:rsid w:val="00D82478"/>
    <w:rsid w:val="00FD5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uiPriority w:val="99"/>
    <w:rsid w:val="00D8247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Normal"/>
    <w:uiPriority w:val="99"/>
    <w:rsid w:val="00D82478"/>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1">
    <w:name w:val="Caption1"/>
    <w:basedOn w:val="Normal"/>
    <w:uiPriority w:val="99"/>
    <w:rsid w:val="00D8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Normal"/>
    <w:uiPriority w:val="99"/>
    <w:rsid w:val="00D8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Normal"/>
    <w:uiPriority w:val="99"/>
    <w:rsid w:val="00D82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rsid w:val="00D824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0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1180</Words>
  <Characters>6730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 </cp:lastModifiedBy>
  <cp:revision>2</cp:revision>
  <dcterms:created xsi:type="dcterms:W3CDTF">2019-04-19T06:30:00Z</dcterms:created>
  <dcterms:modified xsi:type="dcterms:W3CDTF">2019-04-19T07:33:00Z</dcterms:modified>
</cp:coreProperties>
</file>